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0797" w:hAnchor="page" w:vAnchor="page" w:x="280" w:y="13846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any new or revised financial accounting standards provided pursuant to Section 13(a) of the Exchange Act.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142" w:hAnchor="page" w:vAnchor="page" w:x="280" w:y="136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an emerging growth company, indicate by check mark if the registrant has elected not to use the extended transition period for complying with</w:t>
      </w:r>
    </w:p>
    <w:p>
      <w:pPr>
        <w:pStyle w:val="Normal"/>
        <w:framePr w:w="3138" w:hAnchor="page" w:vAnchor="page" w:x="280" w:y="13155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Emerging growth company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9475" w:hAnchor="page" w:vAnchor="page" w:x="280" w:y="126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chapter) or Rule 12b-2 of the Securities Exchange Act of 1934 (§240.12b-2 of this chapter).</w:t>
      </w:r>
    </w:p>
    <w:p>
      <w:pPr>
        <w:pStyle w:val="Normal"/>
        <w:framePr w:w="14138" w:hAnchor="page" w:vAnchor="page" w:x="280" w:y="124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Indicate by check mark whether the registrant is an emerging growth company as defined in Rule 405 of the Securities Act of 1933 (§230.405 of</w:t>
      </w:r>
    </w:p>
    <w:p>
      <w:pPr>
        <w:pStyle w:val="Normal"/>
        <w:framePr w:w="4241" w:hAnchor="page" w:vAnchor="page" w:x="1053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stock, $0.01 par value per share</w:t>
      </w:r>
    </w:p>
    <w:p>
      <w:pPr>
        <w:pStyle w:val="Normal"/>
        <w:framePr w:w="947" w:hAnchor="page" w:vAnchor="page" w:x="5886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SMMT</w:t>
      </w:r>
    </w:p>
    <w:p>
      <w:pPr>
        <w:pStyle w:val="Normal"/>
        <w:framePr w:w="3267" w:hAnchor="page" w:vAnchor="page" w:x="8387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Nasdaq Stock Market LLC</w:t>
      </w:r>
    </w:p>
    <w:p>
      <w:pPr>
        <w:pStyle w:val="Normal"/>
        <w:framePr w:w="2065" w:hAnchor="page" w:vAnchor="page" w:x="1960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 of Each Class</w:t>
      </w:r>
    </w:p>
    <w:p>
      <w:pPr>
        <w:pStyle w:val="Normal"/>
        <w:framePr w:w="2052" w:hAnchor="page" w:vAnchor="page" w:x="5425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Trading Symbol(s)</w:t>
      </w:r>
    </w:p>
    <w:p>
      <w:pPr>
        <w:pStyle w:val="Normal"/>
        <w:framePr w:w="4707" w:hAnchor="page" w:vAnchor="page" w:x="7787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 of Each Exchange on Which Registered</w:t>
      </w:r>
    </w:p>
    <w:p>
      <w:pPr>
        <w:pStyle w:val="Normal"/>
        <w:framePr w:w="5774" w:hAnchor="page" w:vAnchor="page" w:x="280" w:y="110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registered pursuant to Section 12(b) of the Act:</w:t>
      </w:r>
    </w:p>
    <w:p>
      <w:pPr>
        <w:pStyle w:val="Normal"/>
        <w:framePr w:w="11305" w:hAnchor="page" w:vAnchor="page" w:x="280" w:y="10528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Pre-commencement communications pursuant to Rule 13e-4(c) under the Exchange Act (17 CFR 240.13e-4(c)) </w:t>
      </w:r>
    </w:p>
    <w:p>
      <w:pPr>
        <w:pStyle w:val="Normal"/>
        <w:framePr w:w="11298" w:hAnchor="page" w:vAnchor="page" w:x="280" w:y="1006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Pre-commencement communications pursuant to Rule 14d-2(b) under the Exchange Act (17 CFR 240.14d-2(b))</w:t>
      </w:r>
    </w:p>
    <w:p>
      <w:pPr>
        <w:pStyle w:val="Normal"/>
        <w:framePr w:w="9165" w:hAnchor="page" w:vAnchor="page" w:x="280" w:y="9597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Soliciting material pursuant to Rule 14a-12 under the Exchange Act (17 CFR 240.14a-12)</w:t>
      </w:r>
    </w:p>
    <w:p>
      <w:pPr>
        <w:pStyle w:val="Normal"/>
        <w:framePr w:w="9142" w:hAnchor="page" w:vAnchor="page" w:x="280" w:y="9147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Written communications pursuant to Rule 425 under the Securities Act (17 CFR 230.425)</w:t>
      </w:r>
    </w:p>
    <w:p>
      <w:pPr>
        <w:pStyle w:val="Normal"/>
        <w:framePr w:w="6221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provisions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see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General Instruction A.2. below):</w:t>
      </w:r>
    </w:p>
    <w:p>
      <w:pPr>
        <w:pStyle w:val="Normal"/>
        <w:framePr w:w="13957" w:hAnchor="page" w:vAnchor="page" w:x="280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Check the appropriate box below if the Form 8-K filing is intended to simultaneously satisfy the filing obligation of the registrant under any of</w:t>
      </w:r>
    </w:p>
    <w:p>
      <w:pPr>
        <w:pStyle w:val="Normal"/>
        <w:framePr w:w="6588" w:hAnchor="page" w:vAnchor="page" w:x="3528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(Former Name or Former Address, If Changed Since Last Report)</w:t>
      </w:r>
    </w:p>
    <w:p>
      <w:pPr>
        <w:pStyle w:val="Normal"/>
        <w:framePr w:w="1647" w:hAnchor="page" w:vAnchor="page" w:x="5587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applicable</w:t>
      </w:r>
    </w:p>
    <w:p>
      <w:pPr>
        <w:pStyle w:val="Normal"/>
        <w:framePr w:w="7041" w:hAnchor="page" w:vAnchor="page" w:x="3286" w:y="70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Registrant’s Telephone Number, Including Area Code: (305) 203-2034</w:t>
      </w:r>
    </w:p>
    <w:p>
      <w:pPr>
        <w:pStyle w:val="Normal"/>
        <w:framePr w:w="4156" w:hAnchor="page" w:vAnchor="page" w:x="2635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(Address of Principal Executive Offices)</w:t>
      </w:r>
    </w:p>
    <w:p>
      <w:pPr>
        <w:pStyle w:val="Normal"/>
        <w:framePr w:w="1300" w:hAnchor="page" w:vAnchor="page" w:x="9605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(Zip Code)</w:t>
      </w:r>
    </w:p>
    <w:p>
      <w:pPr>
        <w:pStyle w:val="Normal"/>
        <w:framePr w:w="4814" w:hAnchor="page" w:vAnchor="page" w:x="2361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601 Brickell Key Drive, Suite 1000, Miami, FL</w:t>
      </w:r>
    </w:p>
    <w:p>
      <w:pPr>
        <w:pStyle w:val="Normal"/>
        <w:framePr w:w="840" w:hAnchor="page" w:vAnchor="page" w:x="9796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33131</w:t>
      </w:r>
    </w:p>
    <w:p>
      <w:pPr>
        <w:pStyle w:val="Normal"/>
        <w:framePr w:w="1887" w:hAnchor="page" w:vAnchor="page" w:x="1674" w:y="5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Incorporation)</w:t>
      </w:r>
    </w:p>
    <w:p>
      <w:pPr>
        <w:pStyle w:val="Normal"/>
        <w:framePr w:w="1540" w:hAnchor="page" w:vAnchor="page" w:x="5691" w:y="5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File Number)</w:t>
      </w:r>
    </w:p>
    <w:p>
      <w:pPr>
        <w:pStyle w:val="Normal"/>
        <w:framePr w:w="2027" w:hAnchor="page" w:vAnchor="page" w:x="9302" w:y="5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Identification No.)</w:t>
      </w:r>
    </w:p>
    <w:p>
      <w:pPr>
        <w:pStyle w:val="Normal"/>
        <w:framePr w:w="2847" w:hAnchor="page" w:vAnchor="page" w:x="1274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(State or Other Jurisdiction</w:t>
      </w:r>
    </w:p>
    <w:p>
      <w:pPr>
        <w:pStyle w:val="Normal"/>
        <w:framePr w:w="1534" w:hAnchor="page" w:vAnchor="page" w:x="5694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(Commission</w:t>
      </w:r>
    </w:p>
    <w:p>
      <w:pPr>
        <w:pStyle w:val="Normal"/>
        <w:framePr w:w="1700" w:hAnchor="page" w:vAnchor="page" w:x="9438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(IRS Employer</w:t>
      </w:r>
    </w:p>
    <w:p>
      <w:pPr>
        <w:pStyle w:val="Normal"/>
        <w:framePr w:w="1160" w:hAnchor="page" w:vAnchor="page" w:x="1977" w:y="50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Delaware</w:t>
      </w:r>
    </w:p>
    <w:p>
      <w:pPr>
        <w:pStyle w:val="Normal"/>
        <w:framePr w:w="1280" w:hAnchor="page" w:vAnchor="page" w:x="5800" w:y="50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001-36866</w:t>
      </w:r>
    </w:p>
    <w:p>
      <w:pPr>
        <w:pStyle w:val="Normal"/>
        <w:framePr w:w="1400" w:hAnchor="page" w:vAnchor="page" w:x="9563" w:y="50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37-1979717</w:t>
      </w:r>
    </w:p>
    <w:p>
      <w:pPr>
        <w:pStyle w:val="Normal"/>
        <w:framePr w:w="5441" w:hAnchor="page" w:vAnchor="page" w:x="4006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(Exact Name of Registrant as Specified in Its Charter)</w:t>
      </w:r>
    </w:p>
    <w:p>
      <w:pPr>
        <w:pStyle w:val="Normal"/>
        <w:framePr w:w="2727" w:hAnchor="page" w:vAnchor="page" w:x="5137" w:y="4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6727" w:hAnchor="page" w:vAnchor="page" w:x="3417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 of Report (Date of Earliest Event Reported): January 22, 2025</w:t>
      </w:r>
    </w:p>
    <w:p>
      <w:pPr>
        <w:pStyle w:val="Normal"/>
        <w:framePr w:w="7496" w:hAnchor="page" w:vAnchor="page" w:x="3097" w:y="3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Pursuant to Section 13 or 15(d) of The Securities Exchange Act of 1934</w:t>
      </w:r>
    </w:p>
    <w:p>
      <w:pPr>
        <w:pStyle w:val="Normal"/>
        <w:framePr w:w="2479" w:hAnchor="page" w:vAnchor="page" w:x="5187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CURRENT REPORT</w:t>
      </w:r>
    </w:p>
    <w:p>
      <w:pPr>
        <w:pStyle w:val="Normal"/>
        <w:framePr w:w="1420" w:hAnchor="page" w:vAnchor="page" w:x="5628" w:y="25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FORM 8-K</w:t>
      </w:r>
    </w:p>
    <w:p>
      <w:pPr>
        <w:pStyle w:val="Normal"/>
        <w:framePr w:w="2715" w:hAnchor="page" w:vAnchor="page" w:x="5089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Washington, D.C. 20549</w:t>
      </w:r>
    </w:p>
    <w:p>
      <w:pPr>
        <w:pStyle w:val="Normal"/>
        <w:framePr w:w="5410" w:hAnchor="page" w:vAnchor="page" w:x="3966" w:y="1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SECURITIES AND EXCHANGE COMMISSION</w:t>
      </w:r>
    </w:p>
    <w:p>
      <w:pPr>
        <w:pStyle w:val="Normal"/>
        <w:framePr w:w="2119" w:hAnchor="page" w:vAnchor="page" w:x="5337" w:y="16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UNITED STATES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3pt;margin-top:793.65pt;z-index:-167772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3pt;margin-top:794.4pt;z-index:-167772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25pt;margin-top:793.65pt;z-index:-167772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3pt;margin-top:793.65pt;z-index:-167771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371.5pt;margin-top:192.4pt;z-index:-16777192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406.35pt;margin-top:320.75pt;z-index:-16777188;width:192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19pt;margin-top:320.75pt;z-index:-16777184;width:38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406.35pt;margin-top:265.2pt;z-index:-16777180;width:192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215.7pt;margin-top:265.2pt;z-index:-16777176;width:192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19pt;margin-top:265.2pt;z-index:-16777172;width:198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9pt;margin-top:221.7pt;z-index:-16777168;width:58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384.2pt;margin-top:361.3pt;z-index:-16777164;width:2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405.85pt;margin-top:361.3pt;z-index:-16777160;width:4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408.35pt;margin-top:361.3pt;z-index:-16777156;width:4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9pt;margin-top:390.6pt;z-index:-16777152;width:58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365.8pt;margin-top:603.75pt;z-index:-16777148;width:233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597pt;margin-top:588.75pt;z-index:-16777144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250.2pt;margin-top:603.75pt;z-index:-16777140;width:118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365.8pt;margin-top:588.75pt;z-index:-16777136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9.75pt;margin-top:603.75pt;z-index:-16777132;width:233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9.75pt;margin-top:588.75pt;z-index:-16777128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250.2pt;margin-top:588.75pt;z-index:-16777124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365.8pt;margin-top:573.75pt;z-index:-16777120;width:233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365.8pt;margin-top:588.75pt;z-index:-16777116;width:233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597pt;margin-top:573.75pt;z-index:-16777112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250.2pt;margin-top:573.75pt;z-index:-16777108;width:118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250.2pt;margin-top:588.75pt;z-index:-16777104;width:118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365.8pt;margin-top:573.75pt;z-index:-16777100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9.75pt;margin-top:573.75pt;z-index:-16777096;width:233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9.75pt;margin-top:588.75pt;z-index:-16777092;width:233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19.75pt;margin-top:573.75pt;z-index:-16777088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250.2pt;margin-top:573.75pt;z-index:-16777084;width:2.7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595.5pt;margin-top:573.75pt;z-index:-16777080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371.05pt;margin-top:573.75pt;z-index:-16777076;width:226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365.8pt;margin-top:573.75pt;z-index:-1677707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364.3pt;margin-top:573.75pt;z-index:-16777068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255.45pt;margin-top:573.75pt;z-index:-16777064;width:110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250.2pt;margin-top:573.75pt;z-index:-1677706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248.7pt;margin-top:573.75pt;z-index:-16777056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24.25pt;margin-top:573.75pt;z-index:-16777052;width:226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9.75pt;margin-top:573.75pt;z-index:-16777048;width:6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</w:p>
    <w:p>
      <w:pPr>
        <w:pStyle w:val="Normal"/>
        <w:framePr w:w="13751" w:hAnchor="page" w:vAnchor="page" w:x="28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differ from the amount that will be reflected in the Company’s consolidated financial statements for the year ended December 31, 2024.</w:t>
      </w:r>
    </w:p>
    <w:p>
      <w:pPr>
        <w:pStyle w:val="Normal"/>
        <w:framePr w:w="14246" w:hAnchor="page" w:vAnchor="page" w:x="280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October 30, 2024. This amount is preliminary, unaudited and is subject to completion of financial closing procedures. As a result, this amount</w:t>
      </w:r>
    </w:p>
    <w:p>
      <w:pPr>
        <w:pStyle w:val="Normal"/>
        <w:framePr w:w="14247" w:hAnchor="page" w:vAnchor="page" w:x="280" w:y="61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related party loan that was previously outstanding, as disclosed in the Company’s Form 10-Q for the quarter ended September 30, 2024, filed on</w:t>
      </w:r>
    </w:p>
    <w:p>
      <w:pPr>
        <w:pStyle w:val="Normal"/>
        <w:framePr w:w="14243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 was  approximately  $412  million.  This  included  the  repayment  of  outstanding  principal  and  interest  totaling  $31.8  million  from  a</w:t>
      </w:r>
    </w:p>
    <w:p>
      <w:pPr>
        <w:pStyle w:val="Normal"/>
        <w:framePr w:w="13381" w:hAnchor="page" w:vAnchor="page" w:x="1001" w:y="56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December 31, 2024, the preliminary unaudited balance of aggregate cash, cash equivalents, and short-term investments of the</w:t>
      </w:r>
    </w:p>
    <w:p>
      <w:pPr>
        <w:pStyle w:val="Normal"/>
        <w:framePr w:w="1200" w:hAnchor="page" w:vAnchor="page" w:x="300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8.01</w:t>
      </w:r>
    </w:p>
    <w:p>
      <w:pPr>
        <w:pStyle w:val="Normal"/>
        <w:framePr w:w="1667" w:hAnchor="page" w:vAnchor="page" w:x="2102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Other Events.</w:t>
      </w:r>
    </w:p>
    <w:p>
      <w:pPr>
        <w:pStyle w:val="Normal"/>
        <w:framePr w:w="9808" w:hAnchor="page" w:vAnchor="page" w:x="280" w:y="44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annual base salary for each of Dr. Zanganeh and Mr. Soni will increase from $600,000 to $618,000.</w:t>
      </w:r>
    </w:p>
    <w:p>
      <w:pPr>
        <w:pStyle w:val="Normal"/>
        <w:framePr w:w="13390" w:hAnchor="page" w:vAnchor="page" w:x="1001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Additionally, the Board approved an increase in the annual base salaries for Dr. Zanganeh and Mr. Soni. Effective February 1, 2025, the</w:t>
      </w:r>
    </w:p>
    <w:p>
      <w:pPr>
        <w:pStyle w:val="Normal"/>
        <w:framePr w:w="5468" w:hAnchor="page" w:vAnchor="page" w:x="28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nor Mr. Soni received a bonus for the 2023 fiscal year.</w:t>
      </w:r>
    </w:p>
    <w:p>
      <w:pPr>
        <w:pStyle w:val="Normal"/>
        <w:framePr w:w="14253" w:hAnchor="page" w:vAnchor="page" w:x="280" w:y="35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bonus in an amount of $540,000 with respect to the 2024 fiscal year, payable in the first quarter of the 2025 fiscal year. Neither of Dr. Zanganeh</w:t>
      </w:r>
    </w:p>
    <w:p>
      <w:pPr>
        <w:pStyle w:val="Normal"/>
        <w:framePr w:w="14255" w:hAnchor="page" w:vAnchor="page" w:x="280" w:y="33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Soni, Chief Financial Officer, Chief Operating Officer and member of the Board. Dr. Zanganeh and Mr. Soni will each receive a cash</w:t>
      </w:r>
    </w:p>
    <w:p>
      <w:pPr>
        <w:pStyle w:val="Normal"/>
        <w:framePr w:w="14253" w:hAnchor="page" w:vAnchor="page" w:x="280" w:y="3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bonus awards with respect to the 2024 fiscal year for Dr. Mahkam Zanganeh, Chief Executive Officer, President and member of the Board, and</w:t>
      </w:r>
    </w:p>
    <w:p>
      <w:pPr>
        <w:pStyle w:val="Normal"/>
        <w:framePr w:w="13389" w:hAnchor="page" w:vAnchor="page" w:x="1001" w:y="28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January 22, 2025, the Board of Directors (the “Board”) of Summit Therapeutics Inc. (the “Company”) approved and authorized cash</w:t>
      </w:r>
    </w:p>
    <w:p>
      <w:pPr>
        <w:pStyle w:val="Normal"/>
        <w:framePr w:w="2107" w:hAnchor="page" w:vAnchor="page" w:x="2102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Compensatory</w:t>
      </w:r>
    </w:p>
    <w:p>
      <w:pPr>
        <w:pStyle w:val="Normal"/>
        <w:framePr w:w="3834" w:hAnchor="page" w:vAnchor="page" w:x="3358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Arrangements of Certain Officers.</w:t>
      </w:r>
    </w:p>
    <w:p>
      <w:pPr>
        <w:pStyle w:val="Normal"/>
        <w:framePr w:w="1200" w:hAnchor="page" w:vAnchor="page" w:x="300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5.02</w:t>
      </w:r>
    </w:p>
    <w:p>
      <w:pPr>
        <w:pStyle w:val="Normal"/>
        <w:framePr w:w="10428" w:hAnchor="page" w:vAnchor="page" w:x="2102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Departure of Directors or Certain Officers; Election of Directors; Appointment of Certain Officers;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7pt;margin-top:1pt;z-index:-1677704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3pt;margin-top:445.35pt;z-index:-167770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3pt;margin-top:446.1pt;z-index:-167770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96.25pt;margin-top:445.35pt;z-index:-167770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3pt;margin-top:445.35pt;z-index:-167770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3pt;margin-top:88.8pt;z-index:-167770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</w:p>
    <w:p>
      <w:pPr>
        <w:pStyle w:val="Normal"/>
        <w:framePr w:w="2969" w:hAnchor="page" w:vAnchor="page" w:x="6733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(Principal Financial Officer)</w:t>
      </w:r>
    </w:p>
    <w:p>
      <w:pPr>
        <w:pStyle w:val="Normal"/>
        <w:framePr w:w="5245" w:hAnchor="page" w:vAnchor="page" w:x="6733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Operating Officer and Chief Financial Officer</w:t>
      </w:r>
    </w:p>
    <w:p>
      <w:pPr>
        <w:pStyle w:val="Normal"/>
        <w:framePr w:w="2467" w:hAnchor="page" w:vAnchor="page" w:x="487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Date: January 24, 2025</w:t>
      </w:r>
    </w:p>
    <w:p>
      <w:pPr>
        <w:pStyle w:val="Normal"/>
        <w:framePr w:w="587" w:hAnchor="page" w:vAnchor="page" w:x="5682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</w:t>
      </w:r>
    </w:p>
    <w:p>
      <w:pPr>
        <w:pStyle w:val="Normal"/>
        <w:framePr w:w="2188" w:hAnchor="page" w:vAnchor="page" w:x="6733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Manmeet S. Soni</w:t>
      </w:r>
    </w:p>
    <w:p>
      <w:pPr>
        <w:pStyle w:val="Normal"/>
        <w:framePr w:w="3769" w:hAnchor="page" w:vAnchor="page" w:x="5682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4647" w:hAnchor="page" w:vAnchor="page" w:x="280" w:y="22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the undersigned, hereunto duly authorized.</w:t>
      </w:r>
    </w:p>
    <w:p>
      <w:pPr>
        <w:pStyle w:val="Normal"/>
        <w:framePr w:w="13296" w:hAnchor="page" w:vAnchor="page" w:x="1001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requirements of the Securities Exchange Act of 1934, the registrant has duly caused this report to be signed on its behalf</w:t>
      </w:r>
    </w:p>
    <w:p>
      <w:pPr>
        <w:pStyle w:val="Normal"/>
        <w:framePr w:w="1650" w:hAnchor="page" w:vAnchor="page" w:x="5533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SIGNATURE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7pt;margin-top:1pt;z-index:-16777020;width:598pt;height:305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331.25pt;margin-top:191.65pt;z-index:-16777016;width:267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</w:p>
    <w:sectPr>
      <w:pgSz w:w="12240" w:h="20160"/>
      <w:pgMar w:top="400" w:right="400" w:bottom="400" w:left="400" w:header="720" w:footer="720"/>
      <w:pgNumType w:start="3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be00ae22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b520054c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caef09b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1" Target="media/image11.png" Type="http://schemas.openxmlformats.org/officeDocument/2006/relationships/image"/><Relationship Id="rId12" Target="media/image12.png" Type="http://schemas.openxmlformats.org/officeDocument/2006/relationships/image"/><Relationship Id="rId13" Target="media/image13.png" Type="http://schemas.openxmlformats.org/officeDocument/2006/relationships/image"/><Relationship Id="rId14" Target="media/image14.png" Type="http://schemas.openxmlformats.org/officeDocument/2006/relationships/image"/><Relationship Id="rId15" Target="media/image15.png" Type="http://schemas.openxmlformats.org/officeDocument/2006/relationships/image"/><Relationship Id="rId16" Target="media/image16.png" Type="http://schemas.openxmlformats.org/officeDocument/2006/relationships/image"/><Relationship Id="rId17" Target="media/image17.png" Type="http://schemas.openxmlformats.org/officeDocument/2006/relationships/image"/><Relationship Id="rId18" Target="media/image18.png" Type="http://schemas.openxmlformats.org/officeDocument/2006/relationships/image"/><Relationship Id="rId19" Target="media/image1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1" Target="media/image21.png" Type="http://schemas.openxmlformats.org/officeDocument/2006/relationships/image"/><Relationship Id="rId22" Target="media/image22.png" Type="http://schemas.openxmlformats.org/officeDocument/2006/relationships/image"/><Relationship Id="rId23" Target="media/image23.png" Type="http://schemas.openxmlformats.org/officeDocument/2006/relationships/image"/><Relationship Id="rId24" Target="media/image24.png" Type="http://schemas.openxmlformats.org/officeDocument/2006/relationships/image"/><Relationship Id="rId25" Target="media/image25.png" Type="http://schemas.openxmlformats.org/officeDocument/2006/relationships/image"/><Relationship Id="rId26" Target="media/image26.png" Type="http://schemas.openxmlformats.org/officeDocument/2006/relationships/image"/><Relationship Id="rId27" Target="media/image27.png" Type="http://schemas.openxmlformats.org/officeDocument/2006/relationships/image"/><Relationship Id="rId28" Target="media/image28.png" Type="http://schemas.openxmlformats.org/officeDocument/2006/relationships/image"/><Relationship Id="rId29" Target="media/image2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1" Target="media/image31.png" Type="http://schemas.openxmlformats.org/officeDocument/2006/relationships/image"/><Relationship Id="rId32" Target="media/image32.png" Type="http://schemas.openxmlformats.org/officeDocument/2006/relationships/image"/><Relationship Id="rId33" Target="media/image33.png" Type="http://schemas.openxmlformats.org/officeDocument/2006/relationships/image"/><Relationship Id="rId34" Target="media/image34.png" Type="http://schemas.openxmlformats.org/officeDocument/2006/relationships/image"/><Relationship Id="rId35" Target="media/image35.png" Type="http://schemas.openxmlformats.org/officeDocument/2006/relationships/image"/><Relationship Id="rId36" Target="media/image36.png" Type="http://schemas.openxmlformats.org/officeDocument/2006/relationships/image"/><Relationship Id="rId37" Target="media/image37.png" Type="http://schemas.openxmlformats.org/officeDocument/2006/relationships/image"/><Relationship Id="rId38" Target="media/image38.png" Type="http://schemas.openxmlformats.org/officeDocument/2006/relationships/image"/><Relationship Id="rId39" Target="media/image3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1" Target="media/image41.png" Type="http://schemas.openxmlformats.org/officeDocument/2006/relationships/image"/><Relationship Id="rId42" Target="media/image42.png" Type="http://schemas.openxmlformats.org/officeDocument/2006/relationships/image"/><Relationship Id="rId43" Target="media/image43.png" Type="http://schemas.openxmlformats.org/officeDocument/2006/relationships/image"/><Relationship Id="rId44" Target="media/image44.png" Type="http://schemas.openxmlformats.org/officeDocument/2006/relationships/image"/><Relationship Id="rId45" Target="media/image45.png" Type="http://schemas.openxmlformats.org/officeDocument/2006/relationships/image"/><Relationship Id="rId46" Target="media/image46.png" Type="http://schemas.openxmlformats.org/officeDocument/2006/relationships/image"/><Relationship Id="rId47" Target="media/image47.png" Type="http://schemas.openxmlformats.org/officeDocument/2006/relationships/image"/><Relationship Id="rId48" Target="media/image48.png" Type="http://schemas.openxmlformats.org/officeDocument/2006/relationships/image"/><Relationship Id="rId49" Target="media/image4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1" Target="styles.xml" Type="http://schemas.openxmlformats.org/officeDocument/2006/relationships/styles"/><Relationship Id="rId52" Target="fontTable.xml" Type="http://schemas.openxmlformats.org/officeDocument/2006/relationships/fontTable"/><Relationship Id="rId53" Target="settings.xml" Type="http://schemas.openxmlformats.org/officeDocument/2006/relationships/settings"/><Relationship Id="rId54" Target="webSettings.xml" Type="http://schemas.openxmlformats.org/officeDocument/2006/relationships/webSettings"/><Relationship Id="rId6" Target="media/image6.png" Type="http://schemas.openxmlformats.org/officeDocument/2006/relationships/image"/><Relationship Id="rId7" Target="media/image7.png" Type="http://schemas.openxmlformats.org/officeDocument/2006/relationships/image"/><Relationship Id="rId8" Target="media/image8.png" Type="http://schemas.openxmlformats.org/officeDocument/2006/relationships/image"/><Relationship Id="rId9" Target="media/image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3</Pages>
  <Words>636</Words>
  <Characters>3457</Characters>
  <Application>e-iceblue</Application>
  <DocSecurity>0</DocSecurity>
  <Lines>70</Lines>
  <Paragraphs>70</Paragraphs>
  <ScaleCrop>false</ScaleCrop>
  <Company>e-iceblue</Company>
  <LinksUpToDate>false</LinksUpToDate>
  <CharactersWithSpaces>4042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2025-01-24T21:42:15Z</dcterms:created>
  <dc:creator>root</dc:creator>
  <cp:lastModifiedBy>root</cp:lastModifiedBy>
  <dcterms:modified xsi:type="dcterms:W3CDTF">2025-01-24T21:42:15Z</dcterms:modified>
  <cp:revision>1</cp:revision>
</cp:coreProperties>
</file>